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Техническое задание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на </w:t>
      </w:r>
      <w:r>
        <w:rPr>
          <w:rFonts w:eastAsia="Times New Roman" w:ascii="Times New Roman" w:hAnsi="Times New Roman"/>
          <w:b/>
          <w:sz w:val="24"/>
          <w:szCs w:val="24"/>
          <w:u w:val="single"/>
        </w:rPr>
        <w:t>поставку видеокамер со встроенной аналитикой</w:t>
      </w:r>
    </w:p>
    <w:p>
      <w:pPr>
        <w:pStyle w:val="Normal"/>
        <w:spacing w:lineRule="auto" w:line="240" w:before="0" w:after="0"/>
        <w:jc w:val="center"/>
        <w:rPr>
          <w:rStyle w:val="2"/>
          <w:b w:val="false"/>
          <w:bCs w:val="false"/>
          <w:sz w:val="24"/>
          <w:szCs w:val="24"/>
          <w:u w:val="single"/>
        </w:rPr>
      </w:pPr>
      <w:r>
        <w:rPr>
          <w:b w:val="false"/>
          <w:bCs w:val="false"/>
          <w:sz w:val="24"/>
          <w:szCs w:val="24"/>
          <w:u w:val="singl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0" w:start="0"/>
        <w:jc w:val="both"/>
        <w:rPr>
          <w:rStyle w:val="2"/>
          <w:b w:val="false"/>
          <w:bCs w:val="false"/>
          <w:color w:val="auto"/>
          <w:sz w:val="24"/>
          <w:szCs w:val="24"/>
          <w:shd w:fill="auto" w:val="clear"/>
        </w:rPr>
      </w:pPr>
      <w:r>
        <w:rPr>
          <w:rStyle w:val="2"/>
          <w:sz w:val="24"/>
          <w:szCs w:val="24"/>
          <w:u w:val="single"/>
        </w:rPr>
        <w:t>Предмет закупки:</w:t>
      </w:r>
      <w:r>
        <w:rPr>
          <w:rStyle w:val="2"/>
          <w:sz w:val="24"/>
          <w:szCs w:val="24"/>
        </w:rPr>
        <w:t xml:space="preserve"> </w:t>
      </w:r>
      <w:r>
        <w:rPr>
          <w:rFonts w:eastAsia="Times New Roman" w:ascii="Times New Roman" w:hAnsi="Times New Roman"/>
          <w:sz w:val="24"/>
          <w:szCs w:val="24"/>
        </w:rPr>
        <w:t>Видеокамеры со встроенной аналитикой.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0" w:start="0"/>
        <w:jc w:val="both"/>
        <w:rPr>
          <w:rFonts w:ascii="Times New Roman" w:hAnsi="Times New Roman"/>
          <w:sz w:val="24"/>
          <w:szCs w:val="24"/>
        </w:rPr>
      </w:pPr>
      <w:r>
        <w:rPr>
          <w:rStyle w:val="2"/>
          <w:sz w:val="24"/>
          <w:szCs w:val="24"/>
          <w:u w:val="single"/>
        </w:rPr>
        <w:t>Заказчик:</w:t>
      </w:r>
      <w:r>
        <w:rPr>
          <w:rStyle w:val="2"/>
          <w:sz w:val="24"/>
          <w:szCs w:val="24"/>
        </w:rPr>
        <w:t xml:space="preserve"> </w:t>
      </w:r>
      <w:r>
        <w:rPr>
          <w:rStyle w:val="2"/>
          <w:b w:val="false"/>
          <w:sz w:val="24"/>
          <w:szCs w:val="24"/>
        </w:rPr>
        <w:t xml:space="preserve">Филиал в Тюменской и Курганской областях </w:t>
      </w:r>
      <w:r>
        <w:rPr>
          <w:rFonts w:ascii="Times New Roman" w:hAnsi="Times New Roman"/>
          <w:bCs/>
          <w:sz w:val="24"/>
          <w:szCs w:val="24"/>
        </w:rPr>
        <w:t>ПАО «Ростелеком».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Style w:val="2"/>
          <w:sz w:val="24"/>
          <w:szCs w:val="24"/>
          <w:u w:val="single"/>
        </w:rPr>
        <w:t>Место доставки поставляемых товаров:</w:t>
      </w:r>
      <w:r>
        <w:rPr>
          <w:rStyle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 Тюмень, ул. Республики, д.51.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star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Style w:val="2"/>
          <w:sz w:val="24"/>
          <w:szCs w:val="24"/>
          <w:u w:val="single"/>
        </w:rPr>
        <w:t>Срок и условия оплаты поставки товара:</w:t>
      </w:r>
      <w:r>
        <w:rPr>
          <w:rFonts w:ascii="Times New Roman" w:hAnsi="Times New Roman"/>
          <w:sz w:val="24"/>
          <w:szCs w:val="24"/>
        </w:rPr>
        <w:t xml:space="preserve"> Форма оплаты - безналичный расчет, 100% расчёт ос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уществляются по факту поставки товара в течение 7 рабочих дней с даты подписания Заказчиком товарной накладной/УПД путем перечисления денежных средств на расчётный счёт Поставщика.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start="0"/>
        <w:contextualSpacing/>
        <w:jc w:val="both"/>
        <w:rPr>
          <w:rStyle w:val="3"/>
          <w:b w:val="false"/>
          <w:bCs w:val="false"/>
          <w:color w:val="auto"/>
          <w:sz w:val="24"/>
          <w:szCs w:val="24"/>
          <w:u w:val="single"/>
        </w:rPr>
      </w:pPr>
      <w:r>
        <w:rPr>
          <w:rStyle w:val="3"/>
          <w:bCs w:val="false"/>
          <w:color w:val="auto"/>
          <w:sz w:val="24"/>
          <w:szCs w:val="24"/>
          <w:u w:val="single"/>
        </w:rPr>
        <w:t>Срок поставки товара</w:t>
      </w:r>
      <w:r>
        <w:rPr>
          <w:rStyle w:val="3"/>
          <w:b w:val="false"/>
          <w:bCs w:val="false"/>
          <w:color w:val="auto"/>
          <w:sz w:val="24"/>
          <w:szCs w:val="24"/>
        </w:rPr>
        <w:t xml:space="preserve">: с даты заключения договора в течение </w:t>
      </w:r>
      <w:r>
        <w:rPr>
          <w:rStyle w:val="3"/>
          <w:b w:val="false"/>
          <w:bCs w:val="false"/>
          <w:color w:val="auto"/>
          <w:sz w:val="24"/>
          <w:szCs w:val="24"/>
        </w:rPr>
        <w:t>10</w:t>
      </w:r>
      <w:r>
        <w:rPr>
          <w:rStyle w:val="3"/>
          <w:b w:val="false"/>
          <w:bCs w:val="false"/>
          <w:color w:val="auto"/>
          <w:sz w:val="24"/>
          <w:szCs w:val="24"/>
        </w:rPr>
        <w:t xml:space="preserve"> (</w:t>
      </w:r>
      <w:r>
        <w:rPr>
          <w:rStyle w:val="3"/>
          <w:b w:val="false"/>
          <w:bCs w:val="false"/>
          <w:color w:val="auto"/>
          <w:sz w:val="24"/>
          <w:szCs w:val="24"/>
        </w:rPr>
        <w:t>десять</w:t>
      </w:r>
      <w:r>
        <w:rPr>
          <w:rStyle w:val="3"/>
          <w:b w:val="false"/>
          <w:bCs w:val="false"/>
          <w:color w:val="auto"/>
          <w:sz w:val="24"/>
          <w:szCs w:val="24"/>
        </w:rPr>
        <w:t>) календарных дней.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start="0"/>
        <w:contextualSpacing/>
        <w:jc w:val="both"/>
        <w:rPr>
          <w:rStyle w:val="2"/>
          <w:b w:val="false"/>
          <w:bCs w:val="false"/>
          <w:sz w:val="24"/>
          <w:szCs w:val="24"/>
        </w:rPr>
      </w:pPr>
      <w:r>
        <w:rPr>
          <w:rStyle w:val="2"/>
          <w:sz w:val="24"/>
          <w:szCs w:val="24"/>
          <w:u w:val="single"/>
        </w:rPr>
        <w:t>Требования к качеству, упаковке и поставке товара:</w:t>
      </w:r>
      <w:r>
        <w:rPr>
          <w:rStyle w:val="2"/>
          <w:b w:val="false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наличии заводской упаковки Товар поставляется в заводской упаковке, при отсутствии данной упаковки Товар поставляется в обеспечивающей безопасность, сохранность Товара при транспортировке и хранении упаковке.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Упаковка, порядок погрузки-разгрузки и транспортировки должны исключать возможность механических повреждений поставляемого Товара.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Доставка, погрузочно-разгрузочные работы осуществляются силами и за счет средств Поставщика.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Поставляемый Товар должен быть полностью укомплектован.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должен быть новым (ранее не использованным) и не бывшим в употреблении.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товара и производитель поставляемых товаров должны соответствовать наименованию товара и его производителю, указанным в предоставляемых при поставке товара документах.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Требования к гарантийному сроку товара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Поставщик гарантирует качество поставляемого Товара на срок не менее 12 месяцев.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Характеристика  поставляемого товара: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44"/>
        <w:gridCol w:w="7399"/>
        <w:gridCol w:w="2680"/>
        <w:gridCol w:w="7"/>
      </w:tblGrid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268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Количество, ед. изм.</w:t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68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шт.</w:t>
            </w:r>
          </w:p>
        </w:tc>
      </w:tr>
      <w:tr>
        <w:trPr>
          <w:trHeight w:val="687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Технические характеристики</w:t>
            </w:r>
          </w:p>
        </w:tc>
        <w:tc>
          <w:tcPr>
            <w:tcW w:w="268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4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моноблочное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матрицы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КМОП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матрицы, дюймов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/3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 пикселя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  <w:lang w:val="en-US"/>
              </w:rPr>
              <w:t>2,4</w:t>
            </w:r>
            <w:r>
              <w:rPr>
                <w:rFonts w:ascii="Times New Roman" w:hAnsi="Times New Roman"/>
              </w:rPr>
              <w:t>мкм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Фокусное расстояние объектива, мм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12 до 50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Дальность ИК подсветки, метров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Адаптивная ИК-подсветка регулируемая из веб-интерфейса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Разрешение видеомодуля</w:t>
            </w:r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</w:rPr>
              <w:t>Мп.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  <w:r>
              <w:rPr>
                <w:rFonts w:ascii="Times New Roman" w:hAnsi="Times New Roman"/>
              </w:rPr>
              <w:t xml:space="preserve"> мп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изображения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Цветное, ночью черно-белое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затвора матрицы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Глобальный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Трансляция видеопотока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MJPEG, H.264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Экспозиция автоматическая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ROI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Масса моноблока, кг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 более 5</w:t>
            </w:r>
            <w:r>
              <w:rPr>
                <w:rFonts w:ascii="Times New Roman" w:hAnsi="Times New Roman"/>
                <w:lang w:val="en-US"/>
              </w:rPr>
              <w:t>,9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Автоматическая и ручная регулировка усиления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шумоподавления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множественных учетных записей (с различными правами доступа)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Управляемый из веб-интерфейса ИК фильтр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Управляемый из веб-интерфейса поляризационный фильтр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авторизации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протокола SSH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Протоколы для передачи данных </w:t>
            </w:r>
            <w:r>
              <w:rPr>
                <w:rFonts w:ascii="Times New Roman" w:hAnsi="Times New Roman"/>
                <w:lang w:val="en-US"/>
              </w:rPr>
              <w:t>API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Сторожевой таймер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стандартам электрической сети РФ: 220 В 50 Гц с учетом погрешностей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Потребляемая мощность моноблоком, Ватт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bookmarkStart w:id="1" w:name="OLE_LINK6"/>
            <w:bookmarkStart w:id="2" w:name="OLE_LINK5"/>
            <w:r>
              <w:rPr>
                <w:rFonts w:ascii="Times New Roman" w:hAnsi="Times New Roman"/>
              </w:rPr>
              <w:t xml:space="preserve">Не больше </w:t>
            </w:r>
            <w:bookmarkEnd w:id="1"/>
            <w:bookmarkEnd w:id="2"/>
            <w:r>
              <w:rPr>
                <w:rFonts w:ascii="Times New Roman" w:hAnsi="Times New Roman"/>
                <w:lang w:val="en-US"/>
              </w:rPr>
              <w:t>40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Порты</w:t>
            </w:r>
            <w:r>
              <w:rPr>
                <w:rFonts w:ascii="Times New Roman" w:hAnsi="Times New Roman"/>
                <w:lang w:val="en-US"/>
              </w:rPr>
              <w:t xml:space="preserve"> LAN 10/100/1000 Mbps Ethernet, </w:t>
            </w:r>
            <w:r>
              <w:rPr>
                <w:rFonts w:ascii="Times New Roman" w:hAnsi="Times New Roman"/>
              </w:rPr>
              <w:t>шт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Температура эксплуатации в диапазоне, °С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уже -60 до +65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Удаленное управление питанием комплекса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 защиты по ГОСТ 14254-2015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IP 67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встроенной памяти, Гб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 менее 256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Гб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поддерживаемой памяти, Гб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4096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Метрологические характеристики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Является средством измерения и находится в реестре ФГИС «Аршин»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Пределы допускаемой абсолютной погрешности синхронизации внутренней шкалы времени комплексов с национальной шкалой времени UTC (SU), мкс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±1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Доверительные границы абсолютной погрешности (при доверительной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вероятности 0,95) определения координат местоположения комплекса в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плане в статическом режиме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геометрическом факторе PDOP не более 3, м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±5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Диапазон измерений интервалов времени (исполнения 1 и 3), c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уже от 1 до 86400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Пределы допускаемой абсолютной погрешности измерений интервалов времени (исполнения 1 и 3), 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±1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07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Функциональные характеристики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Распознавание однострочных и двустрочных государственных регистрационных знаков ТС РФ без использования внешних вычислительных ресурсов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Распознавание государственных регистрационных знаков ТС стран Таможенного союза без использования внешних вычислительных ресурсов.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Распознавание номерных знаков без использования внешних вычислительных ресурсов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Автоматическое определение типа ТС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определяемых типов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12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Детекция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Трекинг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направления движения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средней скорости ТС по полосам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интервала движения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плотности движения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марки\модели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Подсчет ТС: по полосам; </w:t>
            </w:r>
            <w:r>
              <w:rPr>
                <w:rFonts w:eastAsia="Calibri" w:ascii="Times New Roman" w:hAnsi="Times New Roman"/>
                <w:lang w:eastAsia="en-US"/>
              </w:rPr>
              <w:t>по типам</w:t>
            </w:r>
            <w:r>
              <w:rPr>
                <w:rFonts w:ascii="Times New Roman" w:hAnsi="Times New Roman"/>
              </w:rPr>
              <w:t>; по маркам; по моделям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Интеграция с платформой «Нетрис»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событий по протоколу «Дупло 2»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Передача событий по протоколу </w:t>
            </w:r>
            <w:r>
              <w:rPr>
                <w:rFonts w:ascii="Times New Roman" w:hAnsi="Times New Roman"/>
                <w:lang w:val="en-US"/>
              </w:rPr>
              <w:t>FTP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передачи событий одновременно по протоколам «Нетрис», «Дупло 2», </w:t>
            </w:r>
            <w:r>
              <w:rPr>
                <w:rFonts w:ascii="Times New Roman" w:hAnsi="Times New Roman"/>
                <w:lang w:val="en-US"/>
              </w:rPr>
              <w:t>FTP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одновременной выгрузки на </w:t>
            </w:r>
            <w:r>
              <w:rPr>
                <w:rFonts w:ascii="Times New Roman" w:hAnsi="Times New Roman"/>
                <w:lang w:val="en-US"/>
              </w:rPr>
              <w:t>FTP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менее 3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ТС, детектированных в зоне обнаружения за выбранный период времени: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всем участке дороги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полосам движения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журнала регистраций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516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Хранение данных в журнале регистрации ТС: Дата и время регистрации ТС; ГРЗ; Обзорная фотография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Увеличенная фотография; Скорость; Марка; Модель; Полоса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фильтрация ТС по выбранным параметрам из журнала регистраций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Глубина журнала регистраций ТС, записей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более 100000 тыс. записей 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протоколов REST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bookmarkStart w:id="3" w:name="_Hlk125131719"/>
            <w:r>
              <w:rPr>
                <w:rFonts w:ascii="Times New Roman" w:hAnsi="Times New Roman"/>
              </w:rPr>
              <w:t xml:space="preserve">Свободно-распространяемая </w:t>
            </w:r>
            <w:bookmarkEnd w:id="3"/>
            <w:r>
              <w:rPr>
                <w:rFonts w:ascii="Times New Roman" w:hAnsi="Times New Roman"/>
              </w:rPr>
              <w:t>СУБД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Операционная система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Linux</w:t>
            </w:r>
            <w:r>
              <w:rPr>
                <w:rFonts w:ascii="Times New Roman" w:hAnsi="Times New Roman"/>
              </w:rPr>
              <w:t>-подобная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Количество полос детекции, шт.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4 шт.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Фиксация нарушений ПДД на линейном участке:</w:t>
              <w:br/>
              <w:t>Движение по обочине</w:t>
              <w:br/>
              <w:t>Движение по встречной полосе</w:t>
              <w:br/>
              <w:t>Езда с непристёгнутым ремнем безопасности</w:t>
              <w:br/>
              <w:t>Езда с выключенным ближним светом фар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остановки-стоянки</w:t>
              <w:br/>
              <w:t>Нарушение правил перевозки сыпучих грузов</w:t>
              <w:br/>
              <w:t>Нарушение правил ПДД для СИМ</w:t>
              <w:br/>
              <w:t>Ограничение въезда в зону по типам ТС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Детекция людей в кадре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1"/>
                <w:numId w:val="2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Детекция лиц</w:t>
            </w:r>
          </w:p>
        </w:tc>
        <w:tc>
          <w:tcPr>
            <w:tcW w:w="2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7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  <w:bookmarkStart w:id="4" w:name="_Hlk102647335"/>
            <w:bookmarkStart w:id="5" w:name="_Hlk102647335"/>
            <w:bookmarkEnd w:id="5"/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before="0" w:after="20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2240" w:h="15840"/>
      <w:pgMar w:left="992" w:right="618" w:gutter="0" w:header="0" w:top="709" w:footer="0" w:bottom="567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cs="Times New Roman"/>
        <w:b w:val="false"/>
        <w:i w:val="false"/>
        <w:color w:val="000000"/>
        <w:u w:val="non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2"/>
      <w:lvlJc w:val="start"/>
      <w:pPr>
        <w:tabs>
          <w:tab w:val="num" w:pos="0"/>
        </w:tabs>
        <w:ind w:start="360" w:hanging="360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72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108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108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144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5134c"/>
    <w:pPr>
      <w:widowControl/>
      <w:bidi w:val="0"/>
      <w:spacing w:lineRule="auto" w:line="276" w:before="0" w:after="200"/>
      <w:jc w:val="start"/>
    </w:pPr>
    <w:rPr>
      <w:rFonts w:eastAsia="" w:cs="Times New Roman" w:eastAsiaTheme="minorEastAsia" w:ascii="Calibri" w:hAnsi="Calibri"/>
      <w:color w:val="auto"/>
      <w:kern w:val="0"/>
      <w:sz w:val="22"/>
      <w:szCs w:val="22"/>
      <w:lang w:eastAsia="ru-RU" w:val="ru-RU" w:bidi="ar-SA"/>
    </w:rPr>
  </w:style>
  <w:style w:type="paragraph" w:styleId="Heading1">
    <w:name w:val="heading 1"/>
    <w:basedOn w:val="Normal"/>
    <w:link w:val="1"/>
    <w:uiPriority w:val="9"/>
    <w:qFormat/>
    <w:rsid w:val="0007542a"/>
    <w:pPr>
      <w:spacing w:lineRule="auto" w:line="240" w:beforeAutospacing="1" w:afterAutospacing="1"/>
      <w:outlineLvl w:val="0"/>
    </w:pPr>
    <w:rPr>
      <w:rFonts w:ascii="Times New Roman" w:hAnsi="Times New Roman" w:eastAsia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21"/>
    <w:uiPriority w:val="9"/>
    <w:semiHidden/>
    <w:unhideWhenUsed/>
    <w:qFormat/>
    <w:rsid w:val="0079770e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(2) + Полужирный"/>
    <w:basedOn w:val="DefaultParagraphFont"/>
    <w:qFormat/>
    <w:rsid w:val="00d5134c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shd w:fill="FFFFFF" w:val="clear"/>
      <w:lang w:val="ru-RU" w:eastAsia="ru-RU"/>
    </w:rPr>
  </w:style>
  <w:style w:type="character" w:styleId="3" w:customStyle="1">
    <w:name w:val="Основной текст (3) + Не полужирный"/>
    <w:basedOn w:val="DefaultParagraphFont"/>
    <w:qFormat/>
    <w:rsid w:val="00d5134c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d5134c"/>
    <w:rPr>
      <w:rFonts w:cs="Times New Roman"/>
      <w:color w:val="2060A4"/>
      <w:u w:val="none"/>
      <w:effect w:val="none"/>
    </w:rPr>
  </w:style>
  <w:style w:type="character" w:styleId="ConsNormal" w:customStyle="1">
    <w:name w:val="ConsNormal Знак"/>
    <w:basedOn w:val="DefaultParagraphFont"/>
    <w:link w:val="ConsNormal1"/>
    <w:qFormat/>
    <w:locked/>
    <w:rsid w:val="00d5134c"/>
    <w:rPr>
      <w:rFonts w:ascii="Arial" w:hAnsi="Arial" w:eastAsia="" w:cs="Arial" w:eastAsiaTheme="minorEastAsia"/>
      <w:sz w:val="20"/>
      <w:szCs w:val="20"/>
      <w:lang w:eastAsia="ru-RU"/>
    </w:rPr>
  </w:style>
  <w:style w:type="character" w:styleId="Style12" w:customStyle="1">
    <w:name w:val="Абзац списка Знак"/>
    <w:link w:val="ListParagraph"/>
    <w:uiPriority w:val="34"/>
    <w:qFormat/>
    <w:locked/>
    <w:rsid w:val="00d5134c"/>
    <w:rPr>
      <w:rFonts w:eastAsia="" w:cs="Times New Roman" w:eastAsiaTheme="minorEastAsia"/>
    </w:rPr>
  </w:style>
  <w:style w:type="character" w:styleId="1" w:customStyle="1">
    <w:name w:val="Заголовок 1 Знак"/>
    <w:basedOn w:val="DefaultParagraphFont"/>
    <w:uiPriority w:val="9"/>
    <w:qFormat/>
    <w:rsid w:val="0007542a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79770e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  <w:lang w:eastAsia="ru-RU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b713f5"/>
    <w:rPr>
      <w:rFonts w:ascii="Tahoma" w:hAnsi="Tahoma" w:eastAsia="Times New Roman" w:cs="Tahoma"/>
      <w:sz w:val="16"/>
      <w:szCs w:val="16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link w:val="Style12"/>
    <w:uiPriority w:val="34"/>
    <w:qFormat/>
    <w:rsid w:val="00d5134c"/>
    <w:pPr>
      <w:spacing w:before="0" w:after="200"/>
      <w:ind w:start="720"/>
      <w:contextualSpacing/>
    </w:pPr>
    <w:rPr>
      <w:lang w:eastAsia="en-US"/>
    </w:rPr>
  </w:style>
  <w:style w:type="paragraph" w:styleId="ConsNormal1" w:customStyle="1">
    <w:name w:val="ConsNormal"/>
    <w:link w:val="ConsNormal"/>
    <w:qFormat/>
    <w:rsid w:val="00d5134c"/>
    <w:pPr>
      <w:widowControl/>
      <w:bidi w:val="0"/>
      <w:spacing w:lineRule="auto" w:line="240" w:before="0" w:after="0"/>
      <w:ind w:firstLine="720" w:end="19772"/>
      <w:jc w:val="start"/>
    </w:pPr>
    <w:rPr>
      <w:rFonts w:ascii="Arial" w:hAnsi="Arial" w:eastAsia="" w:cs="Arial" w:eastAsiaTheme="minorEastAsia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b713f5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d5134c"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6">
    <w:name w:val="Table Grid"/>
    <w:basedOn w:val="a1"/>
    <w:uiPriority w:val="59"/>
    <w:rsid w:val="00d5134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Application>LibreOffice/25.8.7.3$Linux_X86_64 LibreOffice_project/30742500f2d3eb4366ac312fa33d3dcabdb3eba5</Application>
  <AppVersion>15.0000</AppVersion>
  <DocSecurity>4</DocSecurity>
  <Pages>4</Pages>
  <Words>811</Words>
  <Characters>5085</Characters>
  <CharactersWithSpaces>5687</CharactersWithSpaces>
  <Paragraphs>228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2026-09-07T03:18:00Z</dcterms:created>
  <dc:creator>БормотоваНН</dc:creator>
  <dc:description/>
  <dc:language>ru-RU</dc:language>
  <cp:lastModifiedBy/>
  <dcterms:modified xsi:type="dcterms:W3CDTF">2026-09-07T12:34:58Z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